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FB0" w:rsidRDefault="00C45283">
      <w:pPr>
        <w:spacing w:after="0" w:line="259" w:lineRule="auto"/>
        <w:ind w:left="0" w:right="0" w:firstLine="0"/>
      </w:pPr>
      <w:r>
        <w:rPr>
          <w:b/>
        </w:rPr>
        <w:t xml:space="preserve">Test formatujący II rok </w:t>
      </w:r>
    </w:p>
    <w:p w:rsidR="00456FB0" w:rsidRDefault="00C45283" w:rsidP="00525093">
      <w:pPr>
        <w:numPr>
          <w:ilvl w:val="0"/>
          <w:numId w:val="1"/>
        </w:numPr>
        <w:ind w:right="656" w:hanging="237"/>
        <w:jc w:val="both"/>
      </w:pPr>
      <w:r>
        <w:t xml:space="preserve">Test formatujący składa się z 60 pytań. Za jedno prawidłowo rozwiązane pytanie student otrzymuje 1 punkt. Czas trwania egzaminu wynosi 90 minut. Test formatujący przeprowadzany jest na platformie OLAT. Test formatujący to zaliczenie z oceną </w:t>
      </w:r>
    </w:p>
    <w:p w:rsidR="00456FB0" w:rsidRDefault="00C45283" w:rsidP="00525093">
      <w:pPr>
        <w:numPr>
          <w:ilvl w:val="0"/>
          <w:numId w:val="1"/>
        </w:numPr>
        <w:ind w:right="656" w:hanging="237"/>
        <w:jc w:val="both"/>
      </w:pPr>
      <w:r>
        <w:t xml:space="preserve">Terminy testów uzgodnione są w porozumieniu z Radą Roku. Student zapisuje się na jeden z dwóch proponowanych przez koordynatora testu terminów. </w:t>
      </w:r>
    </w:p>
    <w:p w:rsidR="00456FB0" w:rsidRDefault="00C45283" w:rsidP="00525093">
      <w:pPr>
        <w:numPr>
          <w:ilvl w:val="0"/>
          <w:numId w:val="1"/>
        </w:numPr>
        <w:ind w:right="656" w:hanging="237"/>
        <w:jc w:val="both"/>
      </w:pPr>
      <w:r>
        <w:t xml:space="preserve">Nieusprawiedliwiona nieobecność na wybranym terminie jest równoznaczna z niezaliczeniem testu (ocena niedostateczna). Usprawiedliwienie należy przedłożyć w ciągu 7 dni roboczych. </w:t>
      </w:r>
    </w:p>
    <w:p w:rsidR="00456FB0" w:rsidRDefault="00C45283" w:rsidP="00525093">
      <w:pPr>
        <w:numPr>
          <w:ilvl w:val="0"/>
          <w:numId w:val="1"/>
        </w:numPr>
        <w:ind w:right="656" w:hanging="237"/>
        <w:jc w:val="both"/>
      </w:pPr>
      <w:r>
        <w:t>Warunkiem zaliczenia testu formatującego jest uzyskanie równe lub powyżej 60%</w:t>
      </w:r>
      <w:bookmarkStart w:id="0" w:name="_GoBack"/>
      <w:bookmarkEnd w:id="0"/>
      <w:r>
        <w:t xml:space="preserve">. </w:t>
      </w:r>
    </w:p>
    <w:p w:rsidR="00456FB0" w:rsidRDefault="00C45283">
      <w:pPr>
        <w:spacing w:after="0" w:line="259" w:lineRule="auto"/>
        <w:ind w:left="-5" w:right="0"/>
      </w:pPr>
      <w:r>
        <w:t xml:space="preserve">Oceny: </w:t>
      </w:r>
    </w:p>
    <w:p w:rsidR="00456FB0" w:rsidRDefault="00525093">
      <w:pPr>
        <w:tabs>
          <w:tab w:val="center" w:pos="1726"/>
        </w:tabs>
        <w:spacing w:after="0" w:line="259" w:lineRule="auto"/>
        <w:ind w:left="-15" w:right="0" w:firstLine="0"/>
      </w:pPr>
      <w:r>
        <w:t>Procent</w:t>
      </w:r>
      <w:r w:rsidR="00C45283">
        <w:t xml:space="preserve">  </w:t>
      </w:r>
      <w:r w:rsidR="00C45283">
        <w:tab/>
        <w:t xml:space="preserve">Ocena </w:t>
      </w:r>
    </w:p>
    <w:p w:rsidR="00456FB0" w:rsidRDefault="00525093">
      <w:pPr>
        <w:tabs>
          <w:tab w:val="center" w:pos="1568"/>
        </w:tabs>
        <w:spacing w:after="0" w:line="259" w:lineRule="auto"/>
        <w:ind w:left="-15" w:right="0" w:firstLine="0"/>
      </w:pPr>
      <w:r>
        <w:t>60 – 67,99%</w:t>
      </w:r>
      <w:r w:rsidR="00C45283">
        <w:t xml:space="preserve">   </w:t>
      </w:r>
      <w:r w:rsidR="00C45283">
        <w:tab/>
        <w:t xml:space="preserve">3,0 </w:t>
      </w:r>
    </w:p>
    <w:p w:rsidR="00456FB0" w:rsidRDefault="00525093">
      <w:pPr>
        <w:tabs>
          <w:tab w:val="center" w:pos="1568"/>
        </w:tabs>
        <w:spacing w:after="0" w:line="259" w:lineRule="auto"/>
        <w:ind w:left="-15" w:right="0" w:firstLine="0"/>
      </w:pPr>
      <w:r>
        <w:t>68 – 75,99%</w:t>
      </w:r>
      <w:r w:rsidR="00C45283">
        <w:t xml:space="preserve">   </w:t>
      </w:r>
      <w:r w:rsidR="00C45283">
        <w:tab/>
        <w:t xml:space="preserve">3,5 </w:t>
      </w:r>
    </w:p>
    <w:p w:rsidR="00456FB0" w:rsidRDefault="00525093">
      <w:pPr>
        <w:tabs>
          <w:tab w:val="center" w:pos="1568"/>
        </w:tabs>
        <w:spacing w:after="0" w:line="259" w:lineRule="auto"/>
        <w:ind w:left="-15" w:right="0" w:firstLine="0"/>
      </w:pPr>
      <w:r>
        <w:t>76 – 83,99%</w:t>
      </w:r>
      <w:r w:rsidR="00C45283">
        <w:t xml:space="preserve">   </w:t>
      </w:r>
      <w:r w:rsidR="00C45283">
        <w:tab/>
        <w:t xml:space="preserve">4,0 </w:t>
      </w:r>
    </w:p>
    <w:p w:rsidR="00456FB0" w:rsidRDefault="00525093">
      <w:pPr>
        <w:tabs>
          <w:tab w:val="center" w:pos="1568"/>
        </w:tabs>
        <w:spacing w:after="0" w:line="259" w:lineRule="auto"/>
        <w:ind w:left="-15" w:right="0" w:firstLine="0"/>
      </w:pPr>
      <w:r>
        <w:t>84 – 90,99%</w:t>
      </w:r>
      <w:r w:rsidR="00C45283">
        <w:t xml:space="preserve">   </w:t>
      </w:r>
      <w:r w:rsidR="00C45283">
        <w:tab/>
        <w:t xml:space="preserve">4,5 </w:t>
      </w:r>
    </w:p>
    <w:p w:rsidR="00456FB0" w:rsidRDefault="00525093">
      <w:pPr>
        <w:tabs>
          <w:tab w:val="center" w:pos="1568"/>
        </w:tabs>
        <w:spacing w:after="0" w:line="259" w:lineRule="auto"/>
        <w:ind w:left="-15" w:right="0" w:firstLine="0"/>
      </w:pPr>
      <w:r>
        <w:t>91 – 100%</w:t>
      </w:r>
      <w:r w:rsidR="00C45283">
        <w:t xml:space="preserve">   </w:t>
      </w:r>
      <w:r w:rsidR="00C45283">
        <w:tab/>
        <w:t xml:space="preserve">5,0 </w:t>
      </w:r>
    </w:p>
    <w:p w:rsidR="00456FB0" w:rsidRDefault="00C45283" w:rsidP="00525093">
      <w:pPr>
        <w:numPr>
          <w:ilvl w:val="0"/>
          <w:numId w:val="1"/>
        </w:numPr>
        <w:ind w:right="656" w:hanging="237"/>
        <w:jc w:val="both"/>
      </w:pPr>
      <w:r>
        <w:t xml:space="preserve">W przypadku niezdania testu formatującego studentowi przysługuje prawo do dwóch terminów poprawkowych. Testy poprawkowe przeprowadzane będą w formie takiego samego (równoważnego) testu, a ich terminy podawane będą do wiadomości studentów w porozumieniu z Radą Roku. Między ogłoszeniem wyniku egzaminu, a terminem egzaminu poprawkowego, musi upłynąć co najmniej 7 dni roboczych, chyba że termin zostanie ustalony za zgodą obu stron. </w:t>
      </w:r>
    </w:p>
    <w:p w:rsidR="00456FB0" w:rsidRDefault="00C45283" w:rsidP="00525093">
      <w:pPr>
        <w:numPr>
          <w:ilvl w:val="0"/>
          <w:numId w:val="1"/>
        </w:numPr>
        <w:ind w:right="656" w:hanging="237"/>
        <w:jc w:val="both"/>
      </w:pPr>
      <w:r>
        <w:t xml:space="preserve">Za przeprowadzenie testu formatującego odpowiada koordynator testu formatującego. </w:t>
      </w:r>
    </w:p>
    <w:p w:rsidR="00456FB0" w:rsidRDefault="00C45283" w:rsidP="00525093">
      <w:pPr>
        <w:numPr>
          <w:ilvl w:val="0"/>
          <w:numId w:val="1"/>
        </w:numPr>
        <w:ind w:right="656" w:hanging="237"/>
        <w:jc w:val="both"/>
      </w:pPr>
      <w:r>
        <w:t xml:space="preserve">Zakres materiału obowiązującego na teście formatującym stanowi Załącznik nr 1. </w:t>
      </w:r>
    </w:p>
    <w:p w:rsidR="00456FB0" w:rsidRDefault="00C45283" w:rsidP="00525093">
      <w:pPr>
        <w:numPr>
          <w:ilvl w:val="0"/>
          <w:numId w:val="1"/>
        </w:numPr>
        <w:ind w:right="656" w:hanging="237"/>
        <w:jc w:val="both"/>
      </w:pPr>
      <w:r>
        <w:t xml:space="preserve">Sprawy nieujęte w powyższym dokumencie reguluje Regulamin Studiów UMP. We wszystkich wątpliwych przypadkach student ma prawo odwołać się od decyzji koordynatora przedmiotu do Dziekana Wydziału Lekarskiego. </w:t>
      </w:r>
    </w:p>
    <w:p w:rsidR="00C45283" w:rsidRDefault="00C45283" w:rsidP="00C45283">
      <w:pPr>
        <w:ind w:right="656"/>
      </w:pPr>
    </w:p>
    <w:p w:rsidR="00C45283" w:rsidRDefault="00C45283" w:rsidP="00C45283">
      <w:pPr>
        <w:ind w:right="656"/>
      </w:pPr>
    </w:p>
    <w:p w:rsidR="00C45283" w:rsidRDefault="00C45283" w:rsidP="00C45283">
      <w:pPr>
        <w:ind w:right="656"/>
      </w:pPr>
    </w:p>
    <w:p w:rsidR="00C45283" w:rsidRDefault="00C45283" w:rsidP="00C45283">
      <w:pPr>
        <w:ind w:right="656"/>
      </w:pPr>
    </w:p>
    <w:p w:rsidR="00C45283" w:rsidRDefault="00C45283" w:rsidP="00C45283">
      <w:pPr>
        <w:ind w:right="656"/>
      </w:pPr>
    </w:p>
    <w:p w:rsidR="00C45283" w:rsidRDefault="00C45283" w:rsidP="00C45283">
      <w:pPr>
        <w:ind w:right="656"/>
      </w:pPr>
    </w:p>
    <w:p w:rsidR="00C45283" w:rsidRDefault="00C45283" w:rsidP="00C45283">
      <w:pPr>
        <w:ind w:right="656"/>
      </w:pPr>
    </w:p>
    <w:p w:rsidR="00C45283" w:rsidRDefault="00C45283" w:rsidP="00C45283">
      <w:pPr>
        <w:ind w:right="656"/>
      </w:pPr>
    </w:p>
    <w:p w:rsidR="00C45283" w:rsidRDefault="00C45283" w:rsidP="00C45283">
      <w:pPr>
        <w:ind w:right="656"/>
      </w:pPr>
    </w:p>
    <w:p w:rsidR="00C45283" w:rsidRDefault="00C45283" w:rsidP="00C45283">
      <w:pPr>
        <w:ind w:right="656"/>
      </w:pPr>
    </w:p>
    <w:p w:rsidR="00C45283" w:rsidRDefault="00C45283" w:rsidP="00C45283">
      <w:pPr>
        <w:ind w:right="656"/>
      </w:pPr>
    </w:p>
    <w:p w:rsidR="00C45283" w:rsidRDefault="00C45283" w:rsidP="00C45283">
      <w:pPr>
        <w:ind w:right="656"/>
      </w:pPr>
    </w:p>
    <w:p w:rsidR="00C45283" w:rsidRDefault="00C45283" w:rsidP="00C45283">
      <w:pPr>
        <w:ind w:right="656"/>
      </w:pPr>
    </w:p>
    <w:p w:rsidR="00C45283" w:rsidRDefault="00C45283" w:rsidP="00C45283">
      <w:pPr>
        <w:ind w:right="656"/>
      </w:pPr>
    </w:p>
    <w:p w:rsidR="00525093" w:rsidRDefault="00525093" w:rsidP="00C45283">
      <w:pPr>
        <w:ind w:right="656"/>
      </w:pPr>
    </w:p>
    <w:p w:rsidR="00456FB0" w:rsidRDefault="00C45283">
      <w:pPr>
        <w:spacing w:after="0" w:line="259" w:lineRule="auto"/>
        <w:ind w:left="0" w:right="0" w:firstLine="0"/>
      </w:pPr>
      <w:r>
        <w:lastRenderedPageBreak/>
        <w:t xml:space="preserve"> </w:t>
      </w:r>
      <w:r>
        <w:tab/>
        <w:t xml:space="preserve"> </w:t>
      </w:r>
    </w:p>
    <w:p w:rsidR="00456FB0" w:rsidRDefault="00C45283">
      <w:pPr>
        <w:spacing w:after="0" w:line="259" w:lineRule="auto"/>
        <w:ind w:left="0" w:right="0" w:firstLine="0"/>
      </w:pPr>
      <w:r>
        <w:rPr>
          <w:sz w:val="22"/>
        </w:rPr>
        <w:t xml:space="preserve">Załącznik nr 1 </w:t>
      </w:r>
    </w:p>
    <w:tbl>
      <w:tblPr>
        <w:tblStyle w:val="TableGrid"/>
        <w:tblW w:w="10068" w:type="dxa"/>
        <w:tblInd w:w="-428" w:type="dxa"/>
        <w:tblCellMar>
          <w:top w:w="45" w:type="dxa"/>
          <w:left w:w="72" w:type="dxa"/>
          <w:bottom w:w="4" w:type="dxa"/>
          <w:right w:w="77" w:type="dxa"/>
        </w:tblCellMar>
        <w:tblLook w:val="04A0" w:firstRow="1" w:lastRow="0" w:firstColumn="1" w:lastColumn="0" w:noHBand="0" w:noVBand="1"/>
      </w:tblPr>
      <w:tblGrid>
        <w:gridCol w:w="1311"/>
        <w:gridCol w:w="8757"/>
      </w:tblGrid>
      <w:tr w:rsidR="00456FB0">
        <w:trPr>
          <w:trHeight w:val="1094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56FB0" w:rsidRDefault="00C4528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NR STANDARDU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56FB0" w:rsidRDefault="00C45283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456FB0">
        <w:trPr>
          <w:trHeight w:val="991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6FB0" w:rsidRDefault="00C4528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A.W2. </w:t>
            </w:r>
          </w:p>
        </w:tc>
        <w:tc>
          <w:tcPr>
            <w:tcW w:w="87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B0" w:rsidRDefault="00C4528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budowę ciała ludzkiego w podejściu topograficznym (kończyny górna i dolna, klatka piersiowa, brzuch, miednica, grzbiet, szyja, głowa) i czynnościowym (układ kostno-stawowy, układ mięśniowy, układ krążenia, układ oddechowy, układ pokarmowy, układ moczowy, układy płciowe, układ nerwowy i narządy zmysłów, powłoka wspólna); </w:t>
            </w:r>
          </w:p>
        </w:tc>
      </w:tr>
      <w:tr w:rsidR="00456FB0">
        <w:trPr>
          <w:trHeight w:val="310"/>
        </w:trPr>
        <w:tc>
          <w:tcPr>
            <w:tcW w:w="13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56FB0" w:rsidRDefault="00C4528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A.W3.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B0" w:rsidRDefault="00C4528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stosunki topograficzne między poszczególnymi narządami; </w:t>
            </w:r>
          </w:p>
        </w:tc>
      </w:tr>
      <w:tr w:rsidR="00456FB0">
        <w:trPr>
          <w:trHeight w:val="312"/>
        </w:trPr>
        <w:tc>
          <w:tcPr>
            <w:tcW w:w="13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6FB0" w:rsidRDefault="00C4528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B.W1.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6FB0" w:rsidRDefault="00C4528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gospodarkę wodno-elektrolitową w układach biologicznych; </w:t>
            </w:r>
          </w:p>
        </w:tc>
      </w:tr>
      <w:tr w:rsidR="00456FB0">
        <w:trPr>
          <w:trHeight w:val="497"/>
        </w:trPr>
        <w:tc>
          <w:tcPr>
            <w:tcW w:w="13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6FB0" w:rsidRDefault="00C4528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B.W2.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B0" w:rsidRDefault="00C4528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równowagę kwasowo-zasadową i mechanizm działania buforów oraz ich znaczenie w homeostazie ustrojowej; </w:t>
            </w:r>
          </w:p>
        </w:tc>
      </w:tr>
      <w:tr w:rsidR="00456FB0">
        <w:trPr>
          <w:trHeight w:val="499"/>
        </w:trPr>
        <w:tc>
          <w:tcPr>
            <w:tcW w:w="13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6FB0" w:rsidRDefault="00C4528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B.W15.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B0" w:rsidRDefault="00C4528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podstawowe szlaki kataboliczne i anaboliczne, sposoby ich regulacji oraz wpływ na nie czynników genetycznych i środowiskowych; </w:t>
            </w:r>
          </w:p>
        </w:tc>
      </w:tr>
      <w:tr w:rsidR="00456FB0">
        <w:trPr>
          <w:trHeight w:val="610"/>
        </w:trPr>
        <w:tc>
          <w:tcPr>
            <w:tcW w:w="13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6FB0" w:rsidRDefault="00C4528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B.W20.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6FB0" w:rsidRDefault="00C4528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podstawy pobudzenia i przewodzenia w układzie nerwowym oraz wyższe czynności nerwowe, a także fizjologię mięśni prążkowanych i gładkich oraz funkcje krwi </w:t>
            </w:r>
          </w:p>
        </w:tc>
      </w:tr>
      <w:tr w:rsidR="00456FB0">
        <w:trPr>
          <w:trHeight w:val="499"/>
        </w:trPr>
        <w:tc>
          <w:tcPr>
            <w:tcW w:w="13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6FB0" w:rsidRDefault="00C4528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B.W25.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B0" w:rsidRDefault="00C4528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związek między czynnikami zaburzającymi stan równowagi procesów biologicznych a zmianami fizjologicznymi i patofizjologicznymi; </w:t>
            </w:r>
          </w:p>
        </w:tc>
      </w:tr>
      <w:tr w:rsidR="00456FB0">
        <w:trPr>
          <w:trHeight w:val="310"/>
        </w:trPr>
        <w:tc>
          <w:tcPr>
            <w:tcW w:w="13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56FB0" w:rsidRDefault="00C4528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C.W51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B0" w:rsidRDefault="00C4528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mechanizm działania hormonów </w:t>
            </w:r>
          </w:p>
        </w:tc>
      </w:tr>
    </w:tbl>
    <w:p w:rsidR="00456FB0" w:rsidRDefault="00C45283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tbl>
      <w:tblPr>
        <w:tblStyle w:val="TableGrid"/>
        <w:tblW w:w="10068" w:type="dxa"/>
        <w:tblInd w:w="-428" w:type="dxa"/>
        <w:tblCellMar>
          <w:top w:w="45" w:type="dxa"/>
          <w:left w:w="70" w:type="dxa"/>
          <w:bottom w:w="4" w:type="dxa"/>
          <w:right w:w="63" w:type="dxa"/>
        </w:tblCellMar>
        <w:tblLook w:val="04A0" w:firstRow="1" w:lastRow="0" w:firstColumn="1" w:lastColumn="0" w:noHBand="0" w:noVBand="1"/>
      </w:tblPr>
      <w:tblGrid>
        <w:gridCol w:w="1280"/>
        <w:gridCol w:w="8788"/>
      </w:tblGrid>
      <w:tr w:rsidR="00456FB0">
        <w:trPr>
          <w:trHeight w:val="1126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56FB0" w:rsidRDefault="00C4528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NR STANDARDU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56FB0" w:rsidRDefault="00C45283">
            <w:pPr>
              <w:spacing w:after="0" w:line="259" w:lineRule="auto"/>
              <w:ind w:left="36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456FB0">
        <w:trPr>
          <w:trHeight w:val="749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6FB0" w:rsidRDefault="00C45283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B.W21. 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B0" w:rsidRDefault="00C4528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czynność i mechanizmy regulacji wszystkich narządów i układów organizmu człowieka, w tym układu krążenia, układu oddechowego, układu pokarmowego, układu moczowego i powłok skórnych oraz zależności istniejące między nimi </w:t>
            </w:r>
          </w:p>
        </w:tc>
      </w:tr>
      <w:tr w:rsidR="00456FB0">
        <w:trPr>
          <w:trHeight w:val="497"/>
        </w:trPr>
        <w:tc>
          <w:tcPr>
            <w:tcW w:w="12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6FB0" w:rsidRDefault="00C45283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C.W13.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B0" w:rsidRDefault="00C4528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epidemiologię zarażeń wirusami i bakteriami oraz zakażeń grzybami i pasożytami, z uwzględnieniem geograficznego zasięgu ich występowania; </w:t>
            </w:r>
          </w:p>
        </w:tc>
      </w:tr>
      <w:tr w:rsidR="00456FB0">
        <w:trPr>
          <w:trHeight w:val="499"/>
        </w:trPr>
        <w:tc>
          <w:tcPr>
            <w:tcW w:w="12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6FB0" w:rsidRDefault="00C45283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C.W18.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B0" w:rsidRDefault="00C4528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objawy zakażeń jatrogennych, drogi ich rozprzestrzeniania się i patogeny wywołujące zmiany w poszczególnych narządach; </w:t>
            </w:r>
          </w:p>
        </w:tc>
      </w:tr>
      <w:tr w:rsidR="00456FB0">
        <w:trPr>
          <w:trHeight w:val="310"/>
        </w:trPr>
        <w:tc>
          <w:tcPr>
            <w:tcW w:w="12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56FB0" w:rsidRDefault="00C45283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C.W20. 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B0" w:rsidRDefault="00C4528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podstawy dezynfekcji, sterylizacji i postępowania aseptycznego; </w:t>
            </w:r>
          </w:p>
        </w:tc>
      </w:tr>
      <w:tr w:rsidR="00456FB0">
        <w:trPr>
          <w:trHeight w:val="742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6FB0" w:rsidRDefault="00C45283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C.W50.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B0" w:rsidRDefault="00C4528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konsekwencje niewłaściwego odżywiania, w tym długotrwałego głodowania, przyjmowania zbyt obfitych posiłków i stosowania niezbilansowanej diety oraz zaburzenia trawienia i wchłaniania produktów trawienia </w:t>
            </w:r>
          </w:p>
        </w:tc>
      </w:tr>
      <w:tr w:rsidR="00456FB0">
        <w:trPr>
          <w:trHeight w:val="312"/>
        </w:trPr>
        <w:tc>
          <w:tcPr>
            <w:tcW w:w="12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56FB0" w:rsidRDefault="00C45283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E.W1.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B0" w:rsidRDefault="00C4528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uwarunkowania środowiskowe i epidemiologiczne najczęstszych chorób; </w:t>
            </w:r>
          </w:p>
        </w:tc>
      </w:tr>
    </w:tbl>
    <w:p w:rsidR="00456FB0" w:rsidRDefault="00C45283">
      <w:pPr>
        <w:spacing w:after="173" w:line="259" w:lineRule="auto"/>
        <w:ind w:left="0" w:right="0" w:firstLine="0"/>
      </w:pPr>
      <w:r>
        <w:rPr>
          <w:sz w:val="20"/>
        </w:rPr>
        <w:t xml:space="preserve"> </w:t>
      </w:r>
    </w:p>
    <w:p w:rsidR="00456FB0" w:rsidRDefault="00C45283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456FB0" w:rsidRDefault="00C45283">
      <w:pPr>
        <w:spacing w:after="0" w:line="259" w:lineRule="auto"/>
        <w:ind w:left="0" w:right="0" w:firstLine="0"/>
        <w:jc w:val="both"/>
      </w:pPr>
      <w:r>
        <w:rPr>
          <w:sz w:val="20"/>
        </w:rPr>
        <w:t xml:space="preserve"> </w:t>
      </w:r>
    </w:p>
    <w:tbl>
      <w:tblPr>
        <w:tblStyle w:val="TableGrid"/>
        <w:tblW w:w="10065" w:type="dxa"/>
        <w:tblInd w:w="-420" w:type="dxa"/>
        <w:tblCellMar>
          <w:top w:w="45" w:type="dxa"/>
          <w:left w:w="70" w:type="dxa"/>
          <w:bottom w:w="4" w:type="dxa"/>
          <w:right w:w="43" w:type="dxa"/>
        </w:tblCellMar>
        <w:tblLook w:val="04A0" w:firstRow="1" w:lastRow="0" w:firstColumn="1" w:lastColumn="0" w:noHBand="0" w:noVBand="1"/>
      </w:tblPr>
      <w:tblGrid>
        <w:gridCol w:w="1308"/>
        <w:gridCol w:w="8757"/>
      </w:tblGrid>
      <w:tr w:rsidR="00456FB0">
        <w:trPr>
          <w:trHeight w:val="1519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B0" w:rsidRDefault="00C4528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lastRenderedPageBreak/>
              <w:t xml:space="preserve">NR STANDARDU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B0" w:rsidRDefault="00C45283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456FB0">
        <w:trPr>
          <w:trHeight w:val="610"/>
        </w:trPr>
        <w:tc>
          <w:tcPr>
            <w:tcW w:w="1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6FB0" w:rsidRDefault="00C4528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B.W24. 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6FB0" w:rsidRDefault="00C45283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podstawowe ilościowe parametry opisujące wydolność poszczególnych układów i narządów, w tym zakresy norm i czynniki demograficzne wpływające na wartość tych parametrów </w:t>
            </w:r>
          </w:p>
        </w:tc>
      </w:tr>
      <w:tr w:rsidR="00456FB0">
        <w:trPr>
          <w:trHeight w:val="312"/>
        </w:trPr>
        <w:tc>
          <w:tcPr>
            <w:tcW w:w="1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6FB0" w:rsidRDefault="00C4528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C.W1.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6FB0" w:rsidRDefault="00C45283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podstawowe pojęcia z zakresu genetyki; </w:t>
            </w:r>
          </w:p>
        </w:tc>
      </w:tr>
      <w:tr w:rsidR="00456FB0">
        <w:trPr>
          <w:trHeight w:val="310"/>
        </w:trPr>
        <w:tc>
          <w:tcPr>
            <w:tcW w:w="1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56FB0" w:rsidRDefault="00C4528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C.W3.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B0" w:rsidRDefault="00C45283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prawidłowy kariotyp człowieka i różne typy determinacji płci; </w:t>
            </w:r>
          </w:p>
        </w:tc>
      </w:tr>
      <w:tr w:rsidR="00456FB0">
        <w:trPr>
          <w:trHeight w:val="310"/>
        </w:trPr>
        <w:tc>
          <w:tcPr>
            <w:tcW w:w="1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56FB0" w:rsidRDefault="00C4528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C.W12.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B0" w:rsidRDefault="00C45283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drobnoustroje, z uwzględnieniem chorobotwórczych i obecnych we florze fizjologicznej; </w:t>
            </w:r>
          </w:p>
        </w:tc>
      </w:tr>
      <w:tr w:rsidR="00456FB0">
        <w:trPr>
          <w:trHeight w:val="497"/>
        </w:trPr>
        <w:tc>
          <w:tcPr>
            <w:tcW w:w="1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6FB0" w:rsidRDefault="00C4528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C.W15.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B0" w:rsidRDefault="00C45283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konsekwencje narażenia organizmu człowieka na różne czynniki chemiczne i biologiczne oraz zasady profilaktyki; </w:t>
            </w:r>
          </w:p>
        </w:tc>
      </w:tr>
      <w:tr w:rsidR="00456FB0">
        <w:trPr>
          <w:trHeight w:val="499"/>
        </w:trPr>
        <w:tc>
          <w:tcPr>
            <w:tcW w:w="1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6FB0" w:rsidRDefault="00C4528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C.W21.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B0" w:rsidRDefault="00C45283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podstawy rozwoju i mechanizmy działania układu odpornościowego, w tym swoiste i nieswoiste mechanizmy odporności humoralnej i komórkowej; </w:t>
            </w:r>
          </w:p>
        </w:tc>
      </w:tr>
      <w:tr w:rsidR="00456FB0">
        <w:trPr>
          <w:trHeight w:val="310"/>
        </w:trPr>
        <w:tc>
          <w:tcPr>
            <w:tcW w:w="1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56FB0" w:rsidRDefault="00C4528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C.W28. 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B0" w:rsidRDefault="00C45283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przebieg kliniczny zapaleń swoistych i nieswoistych oraz procesy regeneracji tkanek i narządów </w:t>
            </w:r>
          </w:p>
        </w:tc>
      </w:tr>
      <w:tr w:rsidR="00456FB0">
        <w:trPr>
          <w:trHeight w:val="310"/>
        </w:trPr>
        <w:tc>
          <w:tcPr>
            <w:tcW w:w="1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56FB0" w:rsidRDefault="00C4528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C.W33. 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B0" w:rsidRDefault="00C45283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czynniki chorobotwórcze zewnętrzne i wewnętrzne, modyfikowalne i niemodyfikowalne </w:t>
            </w:r>
          </w:p>
        </w:tc>
      </w:tr>
      <w:tr w:rsidR="00456FB0">
        <w:trPr>
          <w:trHeight w:val="499"/>
        </w:trPr>
        <w:tc>
          <w:tcPr>
            <w:tcW w:w="1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6FB0" w:rsidRDefault="00C4528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C.W49.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B0" w:rsidRDefault="00C45283">
            <w:pPr>
              <w:spacing w:after="0" w:line="259" w:lineRule="auto"/>
              <w:ind w:left="2" w:right="0" w:firstLine="0"/>
              <w:jc w:val="both"/>
            </w:pPr>
            <w:r>
              <w:rPr>
                <w:sz w:val="20"/>
              </w:rPr>
              <w:t xml:space="preserve">enzymy  biorące  udział  w  trawieniu,  mechanizm  wytwarzania  kwasu  solnego w żołądku, rolę żółci, przebieg wchłaniania produktów trawienia </w:t>
            </w:r>
          </w:p>
        </w:tc>
      </w:tr>
      <w:tr w:rsidR="00456FB0">
        <w:trPr>
          <w:trHeight w:val="6848"/>
        </w:trPr>
        <w:tc>
          <w:tcPr>
            <w:tcW w:w="1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6FB0" w:rsidRDefault="00C4528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E.W7.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B0" w:rsidRDefault="00C45283">
            <w:pPr>
              <w:spacing w:after="0" w:line="242" w:lineRule="auto"/>
              <w:ind w:left="2" w:right="0" w:firstLine="0"/>
            </w:pPr>
            <w:r>
              <w:rPr>
                <w:sz w:val="20"/>
              </w:rPr>
              <w:t xml:space="preserve">przyczyny, objawy, zasady diagnozowania i postępowania terapeutycznego w odniesieniu do najczęstszych chorób wewnętrznych występujących u osób dorosłych oraz ich powikłań: </w:t>
            </w:r>
          </w:p>
          <w:p w:rsidR="00456FB0" w:rsidRDefault="00C45283">
            <w:pPr>
              <w:numPr>
                <w:ilvl w:val="0"/>
                <w:numId w:val="2"/>
              </w:numPr>
              <w:spacing w:after="0" w:line="259" w:lineRule="auto"/>
              <w:ind w:right="0" w:firstLine="0"/>
            </w:pPr>
            <w:r>
              <w:rPr>
                <w:sz w:val="20"/>
              </w:rPr>
              <w:t xml:space="preserve">chorób układu krążenia, w tym choroby niedokrwiennej serca, wad serca, chorób wsierdzia, mięśnia </w:t>
            </w:r>
          </w:p>
          <w:p w:rsidR="00456FB0" w:rsidRDefault="00C45283">
            <w:pPr>
              <w:spacing w:after="0" w:line="242" w:lineRule="auto"/>
              <w:ind w:left="2" w:right="0" w:firstLine="0"/>
            </w:pPr>
            <w:r>
              <w:rPr>
                <w:sz w:val="20"/>
              </w:rPr>
              <w:t xml:space="preserve">serca, osierdzia, niewydolności serca (ostrej i przewlekłej), chorób naczyń tętniczych i żylnych, nadciśnienia tętniczego - pierwotnego i wtórnego, nadciśnienia płucnego, </w:t>
            </w:r>
          </w:p>
          <w:p w:rsidR="00456FB0" w:rsidRDefault="00C45283">
            <w:pPr>
              <w:numPr>
                <w:ilvl w:val="0"/>
                <w:numId w:val="2"/>
              </w:numPr>
              <w:spacing w:after="0" w:line="241" w:lineRule="auto"/>
              <w:ind w:right="0" w:firstLine="0"/>
            </w:pPr>
            <w:r>
              <w:rPr>
                <w:sz w:val="20"/>
              </w:rPr>
              <w:t xml:space="preserve">chorób układu oddechowego, w tym chorób dróg oddechowych, przewlekłej obturacyjnej choroby płuc, astmy oskrzelowej, rozstrzenia oskrzeli, mukowiscydozy, zakażeń układu oddechowego, chorób śródmiąższowych płuc, opłucnej, śródpiersia, obturacyjnego i centralnego bezdechu sennego, niewydolności oddechowej (ostrej i przewlekłej), nowotworów układu oddechowego </w:t>
            </w:r>
          </w:p>
          <w:p w:rsidR="00456FB0" w:rsidRDefault="00C45283">
            <w:pPr>
              <w:numPr>
                <w:ilvl w:val="0"/>
                <w:numId w:val="2"/>
              </w:numPr>
              <w:spacing w:after="0" w:line="242" w:lineRule="auto"/>
              <w:ind w:right="0" w:firstLine="0"/>
            </w:pPr>
            <w:r>
              <w:rPr>
                <w:sz w:val="20"/>
              </w:rPr>
              <w:t xml:space="preserve">chorób układu pokarmowego, w tym chorób jamy ustnej, żołądka i dwunastnicy, jelit, trzustki, wątroby, dróg żółciowych i pęcherzyka żółciowego,  </w:t>
            </w:r>
          </w:p>
          <w:p w:rsidR="00456FB0" w:rsidRDefault="00C45283">
            <w:pPr>
              <w:numPr>
                <w:ilvl w:val="0"/>
                <w:numId w:val="2"/>
              </w:numPr>
              <w:spacing w:after="1" w:line="240" w:lineRule="auto"/>
              <w:ind w:right="0" w:firstLine="0"/>
            </w:pPr>
            <w:r>
              <w:rPr>
                <w:sz w:val="20"/>
              </w:rPr>
              <w:t xml:space="preserve">chorób układu wydzielania wewnętrznego, w tym chorób podwzgórza i przysadki, tarczycy, przytarczyc, kory i rdzenia nadnerczy, jajników i jąder oraz guzów neuroendokrynnych, zespołów wielogruczołowych, różnych typów cukrzycy i zespołu metabolicznego - hipoglikemii, otyłości, </w:t>
            </w:r>
            <w:proofErr w:type="spellStart"/>
            <w:r>
              <w:rPr>
                <w:sz w:val="20"/>
              </w:rPr>
              <w:t>dyslipidemii</w:t>
            </w:r>
            <w:proofErr w:type="spellEnd"/>
            <w:r>
              <w:rPr>
                <w:sz w:val="20"/>
              </w:rPr>
              <w:t xml:space="preserve">, </w:t>
            </w:r>
          </w:p>
          <w:p w:rsidR="00456FB0" w:rsidRDefault="00C45283">
            <w:pPr>
              <w:numPr>
                <w:ilvl w:val="0"/>
                <w:numId w:val="2"/>
              </w:numPr>
              <w:spacing w:after="0" w:line="241" w:lineRule="auto"/>
              <w:ind w:right="0" w:firstLine="0"/>
            </w:pPr>
            <w:r>
              <w:rPr>
                <w:sz w:val="20"/>
              </w:rPr>
              <w:t xml:space="preserve">chorób nerek i dróg moczowych, w tym ostrych i przewlekłych niewydolności nerek, chorób kłębuszków nerkowych i śródmiąższowych nerek, torbieli nerek, kamicy nerkowej, zakażeń układu moczowego, nowotworów układu moczowego, w szczególności pęcherza moczowego i nerki 6. chorób układu krwiotwórczego, w tym aplazji szpiku, niedokrwistości, </w:t>
            </w:r>
            <w:proofErr w:type="spellStart"/>
            <w:r>
              <w:rPr>
                <w:sz w:val="20"/>
              </w:rPr>
              <w:t>granulocytopenii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sz w:val="20"/>
              </w:rPr>
              <w:t>arganulocytozy</w:t>
            </w:r>
            <w:proofErr w:type="spellEnd"/>
            <w:r>
              <w:rPr>
                <w:sz w:val="20"/>
              </w:rPr>
              <w:t xml:space="preserve">, małopłytkowości, białaczek ostrych, nowotworów </w:t>
            </w:r>
            <w:proofErr w:type="spellStart"/>
            <w:r>
              <w:rPr>
                <w:sz w:val="20"/>
              </w:rPr>
              <w:t>mieloproliferacyjnych</w:t>
            </w:r>
            <w:proofErr w:type="spellEnd"/>
            <w:r>
              <w:rPr>
                <w:sz w:val="20"/>
              </w:rPr>
              <w:t xml:space="preserve"> i </w:t>
            </w:r>
          </w:p>
          <w:p w:rsidR="00456FB0" w:rsidRDefault="00C45283">
            <w:pPr>
              <w:spacing w:after="1" w:line="240" w:lineRule="auto"/>
              <w:ind w:left="2" w:right="0" w:firstLine="0"/>
            </w:pPr>
            <w:proofErr w:type="spellStart"/>
            <w:r>
              <w:rPr>
                <w:sz w:val="20"/>
              </w:rPr>
              <w:t>mielodysplastyczno-mieloproliferacyjnych</w:t>
            </w:r>
            <w:proofErr w:type="spellEnd"/>
            <w:r>
              <w:rPr>
                <w:sz w:val="20"/>
              </w:rPr>
              <w:t xml:space="preserve">, zespołów </w:t>
            </w:r>
            <w:proofErr w:type="spellStart"/>
            <w:r>
              <w:rPr>
                <w:sz w:val="20"/>
              </w:rPr>
              <w:t>mielodysplastycznych</w:t>
            </w:r>
            <w:proofErr w:type="spellEnd"/>
            <w:r>
              <w:rPr>
                <w:sz w:val="20"/>
              </w:rPr>
              <w:t xml:space="preserve">, nowotworów z dojrzałych limfocytów B i T, skaz krwotocznych, </w:t>
            </w:r>
            <w:proofErr w:type="spellStart"/>
            <w:r>
              <w:rPr>
                <w:sz w:val="20"/>
              </w:rPr>
              <w:t>trombofilii</w:t>
            </w:r>
            <w:proofErr w:type="spellEnd"/>
            <w:r>
              <w:rPr>
                <w:sz w:val="20"/>
              </w:rPr>
              <w:t xml:space="preserve">, stanów bezpośredniego zagrożenia życia w hematologii, zaburzeń krwi w chorobach innych narządów, </w:t>
            </w:r>
          </w:p>
          <w:p w:rsidR="00456FB0" w:rsidRDefault="00C45283">
            <w:pPr>
              <w:numPr>
                <w:ilvl w:val="0"/>
                <w:numId w:val="3"/>
              </w:numPr>
              <w:spacing w:after="1" w:line="240" w:lineRule="auto"/>
              <w:ind w:right="23" w:firstLine="0"/>
            </w:pPr>
            <w:r>
              <w:rPr>
                <w:sz w:val="20"/>
              </w:rPr>
              <w:t xml:space="preserve">chorób reumatycznych, w tym chorób układowych tkanki łącznej, układowych zapaleń naczyń, zapaleń stawów z zajęciem kręgosłupa, chorób metabolicznych kości, w szczególności osteoporozy i choroby zwyrodnieniowej stawów, dny moczanowej, </w:t>
            </w:r>
          </w:p>
          <w:p w:rsidR="00456FB0" w:rsidRDefault="00C45283">
            <w:pPr>
              <w:numPr>
                <w:ilvl w:val="0"/>
                <w:numId w:val="3"/>
              </w:numPr>
              <w:spacing w:after="0" w:line="259" w:lineRule="auto"/>
              <w:ind w:right="23" w:firstLine="0"/>
            </w:pPr>
            <w:r>
              <w:rPr>
                <w:sz w:val="20"/>
              </w:rPr>
              <w:t xml:space="preserve">chorób alergicznych, w tym anafilaksji i wstrząsu anafilaktycznego oraz obrzęku naczynioruchowego 9. zaburzeń wodno-elektrolitowych i kwasowo-zasadowych: stanów odwodnienia, stanów </w:t>
            </w:r>
            <w:proofErr w:type="spellStart"/>
            <w:r>
              <w:rPr>
                <w:sz w:val="20"/>
              </w:rPr>
              <w:t>przewodnienia</w:t>
            </w:r>
            <w:proofErr w:type="spellEnd"/>
            <w:r>
              <w:rPr>
                <w:sz w:val="20"/>
              </w:rPr>
              <w:t xml:space="preserve">, zaburzeń gospodarki elektrolitowej, kwasicy i </w:t>
            </w:r>
            <w:proofErr w:type="spellStart"/>
            <w:r>
              <w:rPr>
                <w:sz w:val="20"/>
              </w:rPr>
              <w:t>zasadowicy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456FB0">
        <w:trPr>
          <w:trHeight w:val="497"/>
        </w:trPr>
        <w:tc>
          <w:tcPr>
            <w:tcW w:w="1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6FB0" w:rsidRDefault="00C4528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lastRenderedPageBreak/>
              <w:t xml:space="preserve">E.W38.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B0" w:rsidRDefault="00C45283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przyczyny, objawy, zasady diagnozowania i postępowania terapeutycznego w najczęstszych chorobach i specyficznych problemach w praktyce lekarza rodzinnego; </w:t>
            </w:r>
          </w:p>
        </w:tc>
      </w:tr>
    </w:tbl>
    <w:p w:rsidR="00456FB0" w:rsidRDefault="00C45283">
      <w:pPr>
        <w:spacing w:after="0" w:line="396" w:lineRule="auto"/>
        <w:ind w:left="0" w:right="9709" w:firstLine="0"/>
        <w:jc w:val="both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sectPr w:rsidR="00456FB0">
      <w:pgSz w:w="11906" w:h="16838"/>
      <w:pgMar w:top="1457" w:right="731" w:bottom="177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00DDE"/>
    <w:multiLevelType w:val="hybridMultilevel"/>
    <w:tmpl w:val="3CE8F00A"/>
    <w:lvl w:ilvl="0" w:tplc="3EB29724">
      <w:start w:val="7"/>
      <w:numFmt w:val="decimal"/>
      <w:lvlText w:val="%1.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DE5CF8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58DD02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B001DA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562E08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0253A6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D02884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7E023E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8E7C7E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866AC6"/>
    <w:multiLevelType w:val="hybridMultilevel"/>
    <w:tmpl w:val="F8741EB2"/>
    <w:lvl w:ilvl="0" w:tplc="05D2AECA">
      <w:start w:val="1"/>
      <w:numFmt w:val="decimal"/>
      <w:lvlText w:val="%1.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00E72C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389824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52A820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D82F06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CE10CC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E441F4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E41854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02A7BC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065B23"/>
    <w:multiLevelType w:val="hybridMultilevel"/>
    <w:tmpl w:val="157802CC"/>
    <w:lvl w:ilvl="0" w:tplc="97587F26">
      <w:start w:val="1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0C5C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2A6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225F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23D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0C73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7807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AC86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742C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FB0"/>
    <w:rsid w:val="0024071A"/>
    <w:rsid w:val="00456FB0"/>
    <w:rsid w:val="00525093"/>
    <w:rsid w:val="007B3C92"/>
    <w:rsid w:val="00C4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B919"/>
  <w15:docId w15:val="{D7143752-3013-4DFE-BE66-812ABCD8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 w:line="250" w:lineRule="auto"/>
      <w:ind w:left="10" w:right="531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1031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Nowicki</dc:creator>
  <cp:keywords/>
  <cp:lastModifiedBy>Alicja Florkowska</cp:lastModifiedBy>
  <cp:revision>3</cp:revision>
  <dcterms:created xsi:type="dcterms:W3CDTF">2025-04-02T06:25:00Z</dcterms:created>
  <dcterms:modified xsi:type="dcterms:W3CDTF">2025-04-02T06:30:00Z</dcterms:modified>
</cp:coreProperties>
</file>